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274F4" w14:textId="77777777" w:rsidR="00770C7D" w:rsidRDefault="002618F3">
      <w:pPr>
        <w:autoSpaceDE w:val="0"/>
        <w:autoSpaceDN w:val="0"/>
        <w:adjustRightInd w:val="0"/>
        <w:spacing w:before="120" w:after="120"/>
        <w:ind w:right="49"/>
        <w:jc w:val="center"/>
        <w:rPr>
          <w:rFonts w:ascii="Arial" w:hAnsi="Arial" w:cs="Arial"/>
          <w:b/>
          <w:bCs/>
          <w:kern w:val="1"/>
          <w:sz w:val="21"/>
          <w:szCs w:val="21"/>
        </w:rPr>
      </w:pPr>
      <w:r>
        <w:rPr>
          <w:rFonts w:ascii="Arial" w:hAnsi="Arial" w:cs="Arial"/>
          <w:b/>
          <w:bCs/>
          <w:kern w:val="1"/>
          <w:sz w:val="21"/>
          <w:szCs w:val="21"/>
        </w:rPr>
        <w:t>DETERMINA DI AFFIDAMENTO DIRETTO</w:t>
      </w:r>
    </w:p>
    <w:p w14:paraId="01474DBA" w14:textId="77777777" w:rsidR="00770C7D" w:rsidRDefault="00770C7D">
      <w:pPr>
        <w:spacing w:before="120" w:after="120"/>
        <w:ind w:right="49"/>
        <w:jc w:val="center"/>
        <w:rPr>
          <w:rFonts w:ascii="Arial" w:hAnsi="Arial" w:cs="Arial"/>
          <w:b/>
          <w:bCs/>
          <w:sz w:val="21"/>
          <w:szCs w:val="21"/>
        </w:rPr>
      </w:pPr>
    </w:p>
    <w:p w14:paraId="65C499E0" w14:textId="77777777" w:rsidR="00770C7D" w:rsidRDefault="00770C7D">
      <w:p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b/>
          <w:bCs/>
          <w:kern w:val="1"/>
          <w:sz w:val="21"/>
          <w:szCs w:val="20"/>
          <w:u w:val="single"/>
        </w:rPr>
      </w:pPr>
    </w:p>
    <w:p w14:paraId="425005AF" w14:textId="77777777" w:rsidR="00770C7D" w:rsidRDefault="002618F3">
      <w:pPr>
        <w:spacing w:line="276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Torino, </w:t>
      </w:r>
      <w:bookmarkStart w:id="0" w:name="_Hlk139037350"/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DATADOC"/>
            <w:enabled/>
            <w:calcOnExit w:val="0"/>
            <w:textInput>
              <w:format w:val="None"/>
            </w:textInput>
          </w:ffData>
        </w:fldChar>
      </w:r>
      <w:bookmarkStart w:id="1" w:name="DATADOC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28/05/2025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0"/>
      <w:bookmarkEnd w:id="1"/>
    </w:p>
    <w:p w14:paraId="12F6E637" w14:textId="77777777" w:rsidR="00770C7D" w:rsidRDefault="002618F3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Determina. n</w:t>
      </w:r>
      <w:r>
        <w:rPr>
          <w:rFonts w:ascii="Arial" w:hAnsi="Arial" w:cs="Arial"/>
          <w:sz w:val="20"/>
          <w:szCs w:val="20"/>
          <w:lang w:eastAsia="it-IT"/>
        </w:rPr>
        <w:t xml:space="preserve">°: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Numero"/>
            <w:enabled/>
            <w:calcOnExit w:val="0"/>
            <w:textInput>
              <w:format w:val="None"/>
            </w:textInput>
          </w:ffData>
        </w:fldChar>
      </w:r>
      <w:bookmarkStart w:id="2" w:name="Numero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D25/51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2"/>
      <w:r>
        <w:rPr>
          <w:rFonts w:ascii="Arial" w:hAnsi="Arial" w:cs="Arial"/>
          <w:sz w:val="20"/>
          <w:szCs w:val="20"/>
          <w:lang w:eastAsia="it-IT"/>
        </w:rPr>
        <w:t xml:space="preserve"> </w:t>
      </w:r>
    </w:p>
    <w:p w14:paraId="24EA8514" w14:textId="77777777" w:rsidR="00770C7D" w:rsidRDefault="00770C7D">
      <w:p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b/>
          <w:bCs/>
          <w:kern w:val="1"/>
          <w:sz w:val="20"/>
          <w:szCs w:val="20"/>
        </w:rPr>
      </w:pPr>
    </w:p>
    <w:p w14:paraId="5400137A" w14:textId="77777777" w:rsidR="00770C7D" w:rsidRDefault="002618F3">
      <w:p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kern w:val="1"/>
          <w:sz w:val="20"/>
          <w:szCs w:val="20"/>
        </w:rPr>
        <w:t>OGGETTO</w:t>
      </w:r>
      <w:r>
        <w:rPr>
          <w:rFonts w:ascii="Arial" w:hAnsi="Arial" w:cs="Arial"/>
          <w:kern w:val="1"/>
          <w:sz w:val="20"/>
          <w:szCs w:val="20"/>
        </w:rPr>
        <w:t xml:space="preserve">: Affidamento dell’appalto concernente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Servizio"/>
            <w:enabled/>
            <w:calcOnExit w:val="0"/>
            <w:textInput>
              <w:format w:val="None"/>
            </w:textInput>
          </w:ffData>
        </w:fldChar>
      </w:r>
      <w:bookmarkStart w:id="3" w:name="Servizio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realizzazione osservatorio MICE - Focus Piemonte 2024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3"/>
      <w:r>
        <w:rPr>
          <w:rFonts w:ascii="Arial" w:hAnsi="Arial" w:cs="Arial"/>
          <w:kern w:val="1"/>
          <w:sz w:val="20"/>
          <w:szCs w:val="20"/>
        </w:rPr>
        <w:t xml:space="preserve">, con procedura sotto soglia, </w:t>
      </w:r>
      <w:r>
        <w:rPr>
          <w:rFonts w:ascii="Arial" w:hAnsi="Arial" w:cs="Arial"/>
          <w:sz w:val="20"/>
          <w:szCs w:val="20"/>
        </w:rPr>
        <w:t>come disciplinato dall’art. 50, comma 1, lett. b), del d.lgs. n. 36/2023.</w:t>
      </w:r>
    </w:p>
    <w:p w14:paraId="21F8068A" w14:textId="77777777" w:rsidR="00770C7D" w:rsidRDefault="00770C7D">
      <w:p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sz w:val="20"/>
          <w:szCs w:val="20"/>
        </w:rPr>
      </w:pPr>
    </w:p>
    <w:p w14:paraId="431FA018" w14:textId="77777777" w:rsidR="00770C7D" w:rsidRDefault="002618F3">
      <w:p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Progetto: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Attivita"/>
            <w:enabled/>
            <w:calcOnExit w:val="0"/>
            <w:textInput>
              <w:format w:val="None"/>
            </w:textInput>
          </w:ffData>
        </w:fldChar>
      </w:r>
      <w:bookmarkStart w:id="4" w:name="Attivita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261 - MICE QUOTA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4"/>
    </w:p>
    <w:p w14:paraId="2F4D88E5" w14:textId="77777777" w:rsidR="00770C7D" w:rsidRDefault="002618F3">
      <w:p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Protocollo N4M: </w:t>
      </w:r>
      <w:r>
        <w:rPr>
          <w:rFonts w:ascii="Arial" w:hAnsi="Arial" w:cs="Arial"/>
          <w:kern w:val="1"/>
          <w:sz w:val="20"/>
          <w:szCs w:val="20"/>
        </w:rPr>
        <w:fldChar w:fldCharType="begin">
          <w:ffData>
            <w:name w:val="PROT_N4M"/>
            <w:enabled/>
            <w:calcOnExit w:val="0"/>
            <w:textInput>
              <w:format w:val="None"/>
            </w:textInput>
          </w:ffData>
        </w:fldChar>
      </w:r>
      <w:bookmarkStart w:id="5" w:name="PROT_N4M"/>
      <w:r>
        <w:rPr>
          <w:rFonts w:ascii="Arial" w:hAnsi="Arial" w:cs="Arial"/>
          <w:kern w:val="1"/>
          <w:sz w:val="20"/>
          <w:szCs w:val="20"/>
        </w:rPr>
        <w:instrText xml:space="preserve"> FORMTEXT </w:instrText>
      </w:r>
      <w:r>
        <w:rPr>
          <w:rFonts w:ascii="Arial" w:hAnsi="Arial" w:cs="Arial"/>
          <w:kern w:val="1"/>
          <w:sz w:val="20"/>
          <w:szCs w:val="20"/>
        </w:rPr>
      </w:r>
      <w:r>
        <w:rPr>
          <w:rFonts w:ascii="Arial" w:hAnsi="Arial" w:cs="Arial"/>
          <w:kern w:val="1"/>
          <w:sz w:val="20"/>
          <w:szCs w:val="20"/>
        </w:rPr>
        <w:fldChar w:fldCharType="separate"/>
      </w:r>
      <w:r>
        <w:rPr>
          <w:rFonts w:ascii="Arial" w:hAnsi="Arial" w:cs="Arial"/>
          <w:kern w:val="1"/>
          <w:sz w:val="20"/>
          <w:szCs w:val="20"/>
        </w:rPr>
        <w:t>P25/0166</w:t>
      </w:r>
      <w:r>
        <w:rPr>
          <w:rFonts w:ascii="Arial" w:hAnsi="Arial" w:cs="Arial"/>
          <w:kern w:val="1"/>
          <w:sz w:val="20"/>
          <w:szCs w:val="20"/>
        </w:rPr>
        <w:fldChar w:fldCharType="end"/>
      </w:r>
      <w:bookmarkEnd w:id="5"/>
    </w:p>
    <w:p w14:paraId="5125D641" w14:textId="77777777" w:rsidR="00770C7D" w:rsidRDefault="002618F3">
      <w:p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C.U.P.: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CUP"/>
            <w:enabled/>
            <w:calcOnExit w:val="0"/>
            <w:textInput>
              <w:format w:val="None"/>
            </w:textInput>
          </w:ffData>
        </w:fldChar>
      </w:r>
      <w:bookmarkStart w:id="6" w:name="CUP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6"/>
      <w:r>
        <w:rPr>
          <w:rFonts w:ascii="Arial" w:hAnsi="Arial" w:cs="Arial"/>
          <w:kern w:val="1"/>
          <w:sz w:val="20"/>
          <w:szCs w:val="20"/>
        </w:rPr>
        <w:t xml:space="preserve"> </w:t>
      </w:r>
    </w:p>
    <w:p w14:paraId="3A0DD928" w14:textId="77777777" w:rsidR="00770C7D" w:rsidRDefault="00770C7D">
      <w:p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4050AE7F" w14:textId="77777777" w:rsidR="00770C7D" w:rsidRDefault="002618F3">
      <w:pPr>
        <w:autoSpaceDE w:val="0"/>
        <w:autoSpaceDN w:val="0"/>
        <w:adjustRightInd w:val="0"/>
        <w:spacing w:before="120" w:after="120"/>
        <w:ind w:right="49"/>
        <w:jc w:val="center"/>
        <w:rPr>
          <w:rFonts w:ascii="Arial" w:hAnsi="Arial" w:cs="Arial"/>
          <w:b/>
          <w:kern w:val="1"/>
          <w:sz w:val="20"/>
          <w:szCs w:val="20"/>
        </w:rPr>
      </w:pPr>
      <w:r>
        <w:rPr>
          <w:rFonts w:ascii="Arial" w:hAnsi="Arial" w:cs="Arial"/>
          <w:b/>
          <w:kern w:val="1"/>
          <w:sz w:val="20"/>
          <w:szCs w:val="20"/>
        </w:rPr>
        <w:t>IL DIRETTORE GENERALE</w:t>
      </w:r>
    </w:p>
    <w:p w14:paraId="7243053E" w14:textId="77777777" w:rsidR="00770C7D" w:rsidRDefault="00770C7D">
      <w:p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3360A65F" w14:textId="77777777" w:rsidR="00770C7D" w:rsidRDefault="002618F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premesso che </w:t>
      </w:r>
      <w:proofErr w:type="spellStart"/>
      <w:r>
        <w:rPr>
          <w:rFonts w:ascii="Arial" w:hAnsi="Arial" w:cs="Arial"/>
          <w:kern w:val="1"/>
          <w:sz w:val="20"/>
          <w:szCs w:val="20"/>
        </w:rPr>
        <w:t>Visit</w:t>
      </w:r>
      <w:proofErr w:type="spellEnd"/>
      <w:r>
        <w:rPr>
          <w:rFonts w:ascii="Arial" w:hAnsi="Arial" w:cs="Arial"/>
          <w:kern w:val="1"/>
          <w:sz w:val="20"/>
          <w:szCs w:val="20"/>
        </w:rPr>
        <w:t xml:space="preserve"> Piemonte </w:t>
      </w:r>
      <w:proofErr w:type="spellStart"/>
      <w:r>
        <w:rPr>
          <w:rFonts w:ascii="Arial" w:hAnsi="Arial" w:cs="Arial"/>
          <w:kern w:val="1"/>
          <w:sz w:val="20"/>
          <w:szCs w:val="20"/>
        </w:rPr>
        <w:t>Scrl</w:t>
      </w:r>
      <w:proofErr w:type="spellEnd"/>
      <w:r>
        <w:rPr>
          <w:rFonts w:ascii="Arial" w:hAnsi="Arial" w:cs="Arial"/>
          <w:kern w:val="1"/>
          <w:sz w:val="20"/>
          <w:szCs w:val="20"/>
        </w:rPr>
        <w:t xml:space="preserve"> (nel seguito anche la “società”) è una società </w:t>
      </w:r>
      <w:r>
        <w:rPr>
          <w:rFonts w:ascii="Arial" w:hAnsi="Arial" w:cs="Arial"/>
          <w:i/>
          <w:kern w:val="1"/>
          <w:sz w:val="20"/>
          <w:szCs w:val="20"/>
        </w:rPr>
        <w:t xml:space="preserve">in house </w:t>
      </w:r>
      <w:proofErr w:type="spellStart"/>
      <w:r>
        <w:rPr>
          <w:rFonts w:ascii="Arial" w:hAnsi="Arial" w:cs="Arial"/>
          <w:i/>
          <w:kern w:val="1"/>
          <w:sz w:val="20"/>
          <w:szCs w:val="20"/>
        </w:rPr>
        <w:t>providing</w:t>
      </w:r>
      <w:proofErr w:type="spellEnd"/>
      <w:r>
        <w:rPr>
          <w:rFonts w:ascii="Arial" w:hAnsi="Arial" w:cs="Arial"/>
          <w:kern w:val="1"/>
          <w:sz w:val="20"/>
          <w:szCs w:val="20"/>
        </w:rPr>
        <w:t xml:space="preserve"> della Regione Piemonte e di Unioncamere, che opera in regime di “organismo di diritto pubblico”, perciò soggetta alla disciplina del Codice dei contratti pubblici (D.lgs. n. 36/2023); </w:t>
      </w:r>
    </w:p>
    <w:p w14:paraId="1DDB4F39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017B06D7" w14:textId="77777777" w:rsidR="00770C7D" w:rsidRDefault="002618F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DGR"/>
            <w:enabled/>
            <w:calcOnExit w:val="0"/>
            <w:textInput>
              <w:format w:val="None"/>
            </w:textInput>
          </w:ffData>
        </w:fldChar>
      </w:r>
      <w:bookmarkStart w:id="7" w:name="DGR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Premesso che la Regione Piemonte con DGR n. 03-1098 del 12/05/2025 ha autorizzato il “Piano di attività e budget 2025, che ai sensi dell’art. 15 dello Statuto di Visit Piemonte Scrl, in data 12/05/2025 è stato autorizzato in sede assembleare;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7"/>
    </w:p>
    <w:p w14:paraId="7AB5E09E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165DB8D2" w14:textId="77777777" w:rsidR="00770C7D" w:rsidRDefault="002618F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p</w:t>
      </w:r>
      <w:r>
        <w:rPr>
          <w:rFonts w:ascii="Arial" w:hAnsi="Arial" w:cs="Arial"/>
          <w:kern w:val="1"/>
          <w:sz w:val="20"/>
          <w:szCs w:val="20"/>
        </w:rPr>
        <w:t xml:space="preserve">remesso che la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Direzione"/>
            <w:enabled/>
            <w:calcOnExit w:val="0"/>
            <w:textInput>
              <w:format w:val="None"/>
            </w:textInput>
          </w:ffData>
        </w:fldChar>
      </w:r>
      <w:bookmarkStart w:id="8" w:name="Direzione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Direzione COORDINAMENTO POLITICHE E FONDI EUROPEI – TURISMO E SPORT - Valorizzazione turistica del territorio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8"/>
      <w:r>
        <w:rPr>
          <w:rFonts w:ascii="Arial" w:hAnsi="Arial" w:cs="Arial"/>
          <w:sz w:val="20"/>
          <w:szCs w:val="20"/>
          <w:lang w:eastAsia="it-IT"/>
        </w:rPr>
        <w:t xml:space="preserve"> </w:t>
      </w:r>
      <w:r>
        <w:rPr>
          <w:rFonts w:ascii="Arial" w:hAnsi="Arial" w:cs="Arial"/>
          <w:kern w:val="1"/>
          <w:sz w:val="20"/>
          <w:szCs w:val="20"/>
        </w:rPr>
        <w:t>della Regione Piemonte, con Determina n.</w:t>
      </w:r>
      <w:r>
        <w:rPr>
          <w:rFonts w:ascii="Arial" w:hAnsi="Arial" w:cs="Arial"/>
          <w:sz w:val="20"/>
          <w:szCs w:val="20"/>
          <w:lang w:eastAsia="it-IT"/>
        </w:rPr>
        <w:t xml:space="preserve">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NDetermina"/>
            <w:enabled/>
            <w:calcOnExit w:val="0"/>
            <w:textInput>
              <w:format w:val="None"/>
            </w:textInput>
          </w:ffData>
        </w:fldChar>
      </w:r>
      <w:bookmarkStart w:id="9" w:name="NDetermina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9"/>
      <w:r>
        <w:rPr>
          <w:rFonts w:ascii="Arial" w:hAnsi="Arial" w:cs="Arial"/>
          <w:kern w:val="1"/>
          <w:sz w:val="20"/>
          <w:szCs w:val="20"/>
        </w:rPr>
        <w:t xml:space="preserve">  del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DataDet"/>
            <w:enabled/>
            <w:calcOnExit w:val="0"/>
            <w:textInput>
              <w:format w:val="None"/>
            </w:textInput>
          </w:ffData>
        </w:fldChar>
      </w:r>
      <w:bookmarkStart w:id="10" w:name="DataDet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10"/>
      <w:r>
        <w:rPr>
          <w:rFonts w:ascii="Arial" w:hAnsi="Arial" w:cs="Arial"/>
          <w:sz w:val="20"/>
          <w:szCs w:val="20"/>
          <w:lang w:eastAsia="it-IT"/>
        </w:rPr>
        <w:t xml:space="preserve"> </w:t>
      </w:r>
      <w:r>
        <w:rPr>
          <w:rFonts w:ascii="Arial" w:hAnsi="Arial" w:cs="Arial"/>
          <w:kern w:val="1"/>
          <w:sz w:val="20"/>
          <w:szCs w:val="20"/>
        </w:rPr>
        <w:t xml:space="preserve">ha assegnato a </w:t>
      </w:r>
      <w:proofErr w:type="spellStart"/>
      <w:r>
        <w:rPr>
          <w:rFonts w:ascii="Arial" w:hAnsi="Arial" w:cs="Arial"/>
          <w:kern w:val="1"/>
          <w:sz w:val="20"/>
          <w:szCs w:val="20"/>
        </w:rPr>
        <w:t>Visit</w:t>
      </w:r>
      <w:proofErr w:type="spellEnd"/>
      <w:r>
        <w:rPr>
          <w:rFonts w:ascii="Arial" w:hAnsi="Arial" w:cs="Arial"/>
          <w:kern w:val="1"/>
          <w:sz w:val="20"/>
          <w:szCs w:val="20"/>
        </w:rPr>
        <w:t xml:space="preserve"> Piemonte la somma di €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Budget"/>
            <w:enabled/>
            <w:calcOnExit w:val="0"/>
            <w:textInput>
              <w:format w:val="None"/>
            </w:textInput>
          </w:ffData>
        </w:fldChar>
      </w:r>
      <w:bookmarkStart w:id="11" w:name="Budget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50000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11"/>
      <w:r>
        <w:rPr>
          <w:rFonts w:ascii="Arial" w:hAnsi="Arial" w:cs="Arial"/>
          <w:kern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(IVA esente art. 10 DPR 633/72)</w:t>
      </w:r>
      <w:r>
        <w:rPr>
          <w:rFonts w:ascii="Arial" w:hAnsi="Arial" w:cs="Arial"/>
          <w:kern w:val="1"/>
          <w:sz w:val="20"/>
          <w:szCs w:val="20"/>
        </w:rPr>
        <w:t xml:space="preserve"> per la realizzazione delle attività per l'anno corrente e previa delibera progettuale del Consiglio di Amministrazione e in continuità del piano operativo; </w:t>
      </w:r>
    </w:p>
    <w:p w14:paraId="2487FEAC" w14:textId="77777777" w:rsidR="00770C7D" w:rsidRDefault="00770C7D">
      <w:pPr>
        <w:pStyle w:val="Paragrafoelenco"/>
        <w:rPr>
          <w:rFonts w:ascii="Arial" w:hAnsi="Arial" w:cs="Arial"/>
          <w:kern w:val="1"/>
          <w:sz w:val="20"/>
          <w:szCs w:val="20"/>
        </w:rPr>
      </w:pPr>
    </w:p>
    <w:p w14:paraId="4E6DA5B1" w14:textId="77777777" w:rsidR="00770C7D" w:rsidRDefault="002618F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dato atto che i rapporti tra </w:t>
      </w:r>
      <w:proofErr w:type="spellStart"/>
      <w:r>
        <w:rPr>
          <w:rFonts w:ascii="Arial" w:hAnsi="Arial" w:cs="Arial"/>
          <w:kern w:val="1"/>
          <w:sz w:val="20"/>
          <w:szCs w:val="20"/>
        </w:rPr>
        <w:t>Visit</w:t>
      </w:r>
      <w:proofErr w:type="spellEnd"/>
      <w:r>
        <w:rPr>
          <w:rFonts w:ascii="Arial" w:hAnsi="Arial" w:cs="Arial"/>
          <w:kern w:val="1"/>
          <w:sz w:val="20"/>
          <w:szCs w:val="20"/>
        </w:rPr>
        <w:t xml:space="preserve"> Piemonte </w:t>
      </w:r>
      <w:proofErr w:type="spellStart"/>
      <w:r>
        <w:rPr>
          <w:rFonts w:ascii="Arial" w:hAnsi="Arial" w:cs="Arial"/>
          <w:kern w:val="1"/>
          <w:sz w:val="20"/>
          <w:szCs w:val="20"/>
        </w:rPr>
        <w:t>Scrl</w:t>
      </w:r>
      <w:proofErr w:type="spellEnd"/>
      <w:r>
        <w:rPr>
          <w:rFonts w:ascii="Arial" w:hAnsi="Arial" w:cs="Arial"/>
          <w:kern w:val="1"/>
          <w:sz w:val="20"/>
          <w:szCs w:val="20"/>
        </w:rPr>
        <w:t xml:space="preserve"> e Regione Piemonte sono disciplinati da specifico contratto/Accordo Quadro;</w:t>
      </w:r>
      <w:bookmarkStart w:id="12" w:name="_Hlk135060613"/>
    </w:p>
    <w:p w14:paraId="1917223A" w14:textId="77777777" w:rsidR="00770C7D" w:rsidRDefault="00770C7D">
      <w:pPr>
        <w:pStyle w:val="Paragrafoelenco"/>
        <w:rPr>
          <w:rFonts w:ascii="Arial" w:hAnsi="Arial" w:cs="Arial"/>
          <w:kern w:val="1"/>
          <w:sz w:val="20"/>
          <w:szCs w:val="20"/>
        </w:rPr>
      </w:pPr>
    </w:p>
    <w:bookmarkEnd w:id="12"/>
    <w:p w14:paraId="346D0FC1" w14:textId="77777777" w:rsidR="00770C7D" w:rsidRDefault="002618F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considerato che si rende necessario provvedere all’approvvigionamento del seguente servizio / della seguente fornitura di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Servizio2"/>
            <w:enabled/>
            <w:calcOnExit w:val="0"/>
            <w:textInput>
              <w:format w:val="None"/>
            </w:textInput>
          </w:ffData>
        </w:fldChar>
      </w:r>
      <w:bookmarkStart w:id="13" w:name="Servizio2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realizzazione osservatorio MICE - Focus Piemonte 2024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13"/>
      <w:r>
        <w:rPr>
          <w:rFonts w:ascii="Arial" w:hAnsi="Arial" w:cs="Arial"/>
          <w:sz w:val="20"/>
          <w:szCs w:val="20"/>
          <w:lang w:eastAsia="it-IT"/>
        </w:rPr>
        <w:t xml:space="preserve"> </w:t>
      </w:r>
      <w:r>
        <w:rPr>
          <w:rFonts w:ascii="Arial" w:hAnsi="Arial" w:cs="Arial"/>
          <w:kern w:val="1"/>
          <w:sz w:val="20"/>
          <w:szCs w:val="20"/>
        </w:rPr>
        <w:t>e che è stata attivata la relativa procedura d’acquisto;</w:t>
      </w:r>
    </w:p>
    <w:p w14:paraId="60FA01C5" w14:textId="77777777" w:rsidR="00770C7D" w:rsidRDefault="00770C7D">
      <w:pPr>
        <w:pStyle w:val="Paragrafoelenco"/>
        <w:rPr>
          <w:rFonts w:ascii="Arial" w:hAnsi="Arial" w:cs="Arial"/>
          <w:kern w:val="1"/>
          <w:sz w:val="20"/>
          <w:szCs w:val="20"/>
        </w:rPr>
      </w:pPr>
    </w:p>
    <w:p w14:paraId="56CF1233" w14:textId="77777777" w:rsidR="00770C7D" w:rsidRDefault="002618F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fldChar w:fldCharType="begin">
          <w:ffData>
            <w:name w:val="Desc_Serv"/>
            <w:enabled/>
            <w:calcOnExit w:val="0"/>
            <w:textInput>
              <w:format w:val="None"/>
            </w:textInput>
          </w:ffData>
        </w:fldChar>
      </w:r>
      <w:bookmarkStart w:id="14" w:name="Desc_Serv"/>
      <w:r>
        <w:rPr>
          <w:rFonts w:ascii="Arial" w:hAnsi="Arial" w:cs="Arial"/>
          <w:kern w:val="1"/>
          <w:sz w:val="20"/>
          <w:szCs w:val="20"/>
        </w:rPr>
        <w:instrText xml:space="preserve"> FORMTEXT </w:instrText>
      </w:r>
      <w:r>
        <w:rPr>
          <w:rFonts w:ascii="Arial" w:hAnsi="Arial" w:cs="Arial"/>
          <w:kern w:val="1"/>
          <w:sz w:val="20"/>
          <w:szCs w:val="20"/>
        </w:rPr>
      </w:r>
      <w:r>
        <w:rPr>
          <w:rFonts w:ascii="Arial" w:hAnsi="Arial" w:cs="Arial"/>
          <w:kern w:val="1"/>
          <w:sz w:val="20"/>
          <w:szCs w:val="20"/>
        </w:rPr>
        <w:fldChar w:fldCharType="separate"/>
      </w:r>
      <w:r>
        <w:rPr>
          <w:rFonts w:ascii="Arial" w:hAnsi="Arial" w:cs="Arial"/>
          <w:noProof/>
          <w:kern w:val="1"/>
          <w:sz w:val="20"/>
          <w:szCs w:val="20"/>
        </w:rPr>
        <w:t>considerato che il servizio richiesto richiede la realizzazione di un Focus Piemonte nell'ambito dell'Osservatorio Italiano dei Congressi e degli Eventi, sotto forma di un Power Point di sintesi con grafici e tabelle contenente la descrizione dell’universo MICE regionale e la stima di eventi, partecipanti e presenze (con ripartizione per sedi, provenienza partecipanti e tipologia di organizzatore, compatibilmente con la significatività delle risposte)</w:t>
      </w:r>
      <w:r>
        <w:rPr>
          <w:rFonts w:ascii="Arial" w:hAnsi="Arial" w:cs="Arial"/>
          <w:kern w:val="1"/>
          <w:sz w:val="20"/>
          <w:szCs w:val="20"/>
        </w:rPr>
        <w:fldChar w:fldCharType="end"/>
      </w:r>
      <w:bookmarkEnd w:id="14"/>
      <w:r>
        <w:rPr>
          <w:rFonts w:ascii="Arial" w:hAnsi="Arial" w:cs="Arial"/>
          <w:kern w:val="1"/>
          <w:sz w:val="20"/>
          <w:szCs w:val="20"/>
        </w:rPr>
        <w:t>;</w:t>
      </w:r>
    </w:p>
    <w:p w14:paraId="57022E9C" w14:textId="77777777" w:rsidR="00770C7D" w:rsidRDefault="00770C7D">
      <w:pPr>
        <w:pStyle w:val="Paragrafoelenco"/>
        <w:rPr>
          <w:rFonts w:ascii="Arial" w:hAnsi="Arial" w:cs="Arial"/>
          <w:kern w:val="1"/>
          <w:sz w:val="20"/>
          <w:szCs w:val="20"/>
        </w:rPr>
      </w:pPr>
    </w:p>
    <w:p w14:paraId="09C30C2A" w14:textId="77777777" w:rsidR="00770C7D" w:rsidRDefault="002618F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16"/>
          <w:szCs w:val="16"/>
        </w:rPr>
      </w:pPr>
      <w:bookmarkStart w:id="15" w:name="_Hlk135060628"/>
      <w:r>
        <w:rPr>
          <w:rFonts w:ascii="Arial" w:hAnsi="Arial" w:cs="Arial"/>
          <w:kern w:val="1"/>
          <w:sz w:val="20"/>
          <w:szCs w:val="20"/>
        </w:rPr>
        <w:t>considerato che il valore del presente appalto risulta essere inferiore a 140.000,00 €, IVA esclusa;</w:t>
      </w:r>
    </w:p>
    <w:bookmarkEnd w:id="15"/>
    <w:p w14:paraId="5279D90B" w14:textId="77777777" w:rsidR="00770C7D" w:rsidRDefault="00770C7D">
      <w:pPr>
        <w:pStyle w:val="Paragrafoelenco"/>
        <w:rPr>
          <w:rFonts w:ascii="Arial" w:hAnsi="Arial" w:cs="Arial"/>
          <w:kern w:val="1"/>
          <w:sz w:val="20"/>
          <w:szCs w:val="20"/>
        </w:rPr>
      </w:pPr>
    </w:p>
    <w:p w14:paraId="30B422EA" w14:textId="77777777" w:rsidR="00770C7D" w:rsidRDefault="002618F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16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dato 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atto che l’art. 50, comma 1, lett. b), del D.lgs. n. 36/2023, disciplinante le procedure sotto soglia, in ambito di servizi e forniture, di valore inferiore a € 140.000,00, dispone che per appalti di cui all’art. 50, comma 1, lett. </w:t>
      </w:r>
      <w:r>
        <w:rPr>
          <w:rFonts w:ascii="Arial" w:hAnsi="Arial" w:cs="Arial"/>
          <w:i/>
          <w:color w:val="000000"/>
          <w:kern w:val="1"/>
          <w:sz w:val="20"/>
          <w:szCs w:val="20"/>
        </w:rPr>
        <w:t>b)</w:t>
      </w:r>
      <w:r>
        <w:rPr>
          <w:rFonts w:ascii="Arial" w:hAnsi="Arial" w:cs="Arial"/>
          <w:color w:val="000000"/>
          <w:kern w:val="1"/>
          <w:sz w:val="20"/>
          <w:szCs w:val="20"/>
        </w:rPr>
        <w:t>, del D.lgs. 36/2023, la stazione appaltante procede</w:t>
      </w:r>
      <w:r>
        <w:rPr>
          <w:rFonts w:ascii="Arial" w:hAnsi="Arial" w:cs="Arial"/>
          <w:i/>
          <w:color w:val="000000"/>
          <w:kern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1"/>
          <w:sz w:val="20"/>
          <w:szCs w:val="20"/>
        </w:rPr>
        <w:t xml:space="preserve">all'affidamento diretto </w:t>
      </w:r>
      <w:r>
        <w:rPr>
          <w:rFonts w:ascii="Arial" w:hAnsi="Arial" w:cs="Arial"/>
          <w:kern w:val="1"/>
          <w:sz w:val="20"/>
          <w:szCs w:val="20"/>
        </w:rPr>
        <w:t>«</w:t>
      </w:r>
      <w:r>
        <w:rPr>
          <w:rFonts w:ascii="Arial" w:hAnsi="Arial" w:cs="Arial"/>
          <w:i/>
          <w:color w:val="000000"/>
          <w:kern w:val="1"/>
          <w:sz w:val="20"/>
          <w:szCs w:val="20"/>
        </w:rPr>
        <w:t xml:space="preserve">dei servizi e forniture, ivi compresi i servizi di ingegneria e architettura e l'attività di progettazione, di importo inferiore </w:t>
      </w:r>
      <w:r>
        <w:rPr>
          <w:rFonts w:ascii="Arial" w:hAnsi="Arial" w:cs="Arial"/>
          <w:i/>
          <w:color w:val="000000"/>
          <w:kern w:val="1"/>
          <w:sz w:val="20"/>
          <w:szCs w:val="20"/>
        </w:rPr>
        <w:lastRenderedPageBreak/>
        <w:t>a 140.000 euro, anche senza consultazione di più operatori economici, a</w:t>
      </w:r>
      <w:r>
        <w:rPr>
          <w:rFonts w:ascii="Arial" w:hAnsi="Arial" w:cs="Arial"/>
          <w:i/>
          <w:color w:val="000000"/>
          <w:kern w:val="1"/>
          <w:sz w:val="20"/>
          <w:szCs w:val="20"/>
        </w:rPr>
        <w:t>ssicurando che siano scelti soggetti in possesso di documentate esperienze pregresse idonee all'esecuzione delle prestazioni contrattuali, anche individuati tra gli iscritti in elenchi o albi istituiti dalla stazione appaltante</w:t>
      </w:r>
      <w:r>
        <w:rPr>
          <w:rFonts w:ascii="Arial" w:hAnsi="Arial" w:cs="Arial"/>
          <w:kern w:val="1"/>
          <w:sz w:val="20"/>
          <w:szCs w:val="20"/>
        </w:rPr>
        <w:t>»</w:t>
      </w:r>
      <w:r>
        <w:rPr>
          <w:rFonts w:ascii="Arial" w:hAnsi="Arial" w:cs="Arial"/>
          <w:color w:val="000000"/>
          <w:kern w:val="1"/>
          <w:sz w:val="20"/>
          <w:szCs w:val="20"/>
        </w:rPr>
        <w:t>;</w:t>
      </w:r>
    </w:p>
    <w:p w14:paraId="09AC3B2F" w14:textId="77777777" w:rsidR="00770C7D" w:rsidRDefault="00770C7D">
      <w:pPr>
        <w:pStyle w:val="Paragrafoelenco"/>
        <w:rPr>
          <w:rFonts w:ascii="Arial" w:hAnsi="Arial" w:cs="Arial"/>
          <w:kern w:val="1"/>
          <w:sz w:val="20"/>
          <w:szCs w:val="20"/>
        </w:rPr>
      </w:pPr>
    </w:p>
    <w:p w14:paraId="2F673B30" w14:textId="77777777" w:rsidR="00770C7D" w:rsidRDefault="002618F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16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dato atto che l’art. 17 del D.lgs. n. 36/2023 dispone che «</w:t>
      </w:r>
      <w:r>
        <w:rPr>
          <w:rFonts w:ascii="Arial" w:hAnsi="Arial" w:cs="Arial"/>
          <w:i/>
          <w:kern w:val="1"/>
          <w:sz w:val="20"/>
          <w:szCs w:val="20"/>
        </w:rPr>
        <w:t>Prima 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</w:t>
      </w:r>
      <w:r>
        <w:rPr>
          <w:rFonts w:ascii="Arial" w:hAnsi="Arial" w:cs="Arial"/>
          <w:kern w:val="1"/>
          <w:sz w:val="20"/>
          <w:szCs w:val="20"/>
        </w:rPr>
        <w:t>» e che, in caso di affidamento diretto, la decisione di contrarre</w:t>
      </w:r>
      <w:r>
        <w:rPr>
          <w:rFonts w:ascii="Arial" w:hAnsi="Arial" w:cs="Arial"/>
          <w:i/>
          <w:kern w:val="1"/>
          <w:sz w:val="20"/>
          <w:szCs w:val="20"/>
        </w:rPr>
        <w:t xml:space="preserve"> </w:t>
      </w:r>
      <w:r>
        <w:rPr>
          <w:rFonts w:ascii="Arial" w:hAnsi="Arial" w:cs="Arial"/>
          <w:kern w:val="1"/>
          <w:sz w:val="20"/>
          <w:szCs w:val="20"/>
        </w:rPr>
        <w:t>«</w:t>
      </w:r>
      <w:r>
        <w:rPr>
          <w:rFonts w:ascii="Arial" w:hAnsi="Arial" w:cs="Arial"/>
          <w:i/>
          <w:kern w:val="1"/>
          <w:sz w:val="20"/>
          <w:szCs w:val="20"/>
        </w:rPr>
        <w:t>individua l’oggetto, l’importo e il contraente, unitamente alle ragioni della sua scelta, ai requisiti di carattere generale e, se necessari, a quelli inere</w:t>
      </w:r>
      <w:r>
        <w:rPr>
          <w:rFonts w:ascii="Arial" w:hAnsi="Arial" w:cs="Arial"/>
          <w:i/>
          <w:kern w:val="1"/>
          <w:sz w:val="20"/>
          <w:szCs w:val="20"/>
        </w:rPr>
        <w:t>nti alla capacità economico-finanziaria e tecnico-professionale</w:t>
      </w:r>
      <w:r>
        <w:rPr>
          <w:rFonts w:ascii="Arial" w:hAnsi="Arial" w:cs="Arial"/>
          <w:kern w:val="1"/>
          <w:sz w:val="20"/>
          <w:szCs w:val="20"/>
        </w:rPr>
        <w:t xml:space="preserve">»; </w:t>
      </w:r>
    </w:p>
    <w:p w14:paraId="37AC3F11" w14:textId="77777777" w:rsidR="00770C7D" w:rsidRDefault="00770C7D">
      <w:pPr>
        <w:pStyle w:val="Paragrafoelenco"/>
        <w:rPr>
          <w:rFonts w:ascii="Arial" w:hAnsi="Arial" w:cs="Arial"/>
          <w:kern w:val="1"/>
          <w:sz w:val="16"/>
          <w:szCs w:val="20"/>
        </w:rPr>
      </w:pPr>
    </w:p>
    <w:p w14:paraId="4AED0FC3" w14:textId="77777777" w:rsidR="00770C7D" w:rsidRDefault="002618F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16"/>
          <w:szCs w:val="16"/>
        </w:rPr>
      </w:pPr>
      <w:r>
        <w:rPr>
          <w:rFonts w:ascii="Arial" w:hAnsi="Arial" w:cs="Arial"/>
          <w:color w:val="000000"/>
          <w:kern w:val="1"/>
          <w:sz w:val="20"/>
          <w:szCs w:val="20"/>
        </w:rPr>
        <w:t xml:space="preserve">tenuto conto delle previsioni di cui alle “Istruzioni Operative per l’affidamento di Servizi e Forniture di importo inferiore alla soglia comunitaria” della Società, approvate con Delibera del C.d.A. del 19/09/2024; </w:t>
      </w:r>
      <w:bookmarkStart w:id="16" w:name="_Hlk135391147"/>
      <w:bookmarkEnd w:id="16"/>
    </w:p>
    <w:p w14:paraId="0430D412" w14:textId="77777777" w:rsidR="00770C7D" w:rsidRDefault="00770C7D">
      <w:pPr>
        <w:pStyle w:val="Paragrafoelenco"/>
        <w:rPr>
          <w:rFonts w:ascii="Arial" w:hAnsi="Arial" w:cs="Arial"/>
          <w:kern w:val="1"/>
          <w:sz w:val="16"/>
          <w:szCs w:val="16"/>
        </w:rPr>
      </w:pPr>
    </w:p>
    <w:p w14:paraId="4B24762D" w14:textId="77777777" w:rsidR="00770C7D" w:rsidRDefault="002618F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napToGrid w:val="0"/>
        <w:spacing w:before="120" w:after="120"/>
        <w:ind w:left="714" w:right="51" w:hanging="357"/>
        <w:contextualSpacing w:val="0"/>
        <w:jc w:val="both"/>
        <w:rPr>
          <w:rFonts w:ascii="Arial" w:hAnsi="Arial" w:cs="Arial"/>
          <w:kern w:val="1"/>
          <w:sz w:val="16"/>
          <w:szCs w:val="16"/>
        </w:rPr>
      </w:pPr>
      <w:r>
        <w:rPr>
          <w:rFonts w:ascii="Arial" w:hAnsi="Arial" w:cs="Arial"/>
          <w:kern w:val="1"/>
          <w:sz w:val="20"/>
          <w:szCs w:val="20"/>
        </w:rPr>
        <w:t xml:space="preserve">dato atto che è stata acquisita la proposta del seguente operatore economico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OperatoreEconomico"/>
            <w:enabled/>
            <w:calcOnExit w:val="0"/>
            <w:textInput>
              <w:format w:val="None"/>
            </w:textInput>
          </w:ffData>
        </w:fldChar>
      </w:r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FEDERCONGRESSI&amp;EVENTI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r>
        <w:rPr>
          <w:rFonts w:ascii="Arial" w:hAnsi="Arial" w:cs="Arial"/>
          <w:kern w:val="1"/>
          <w:sz w:val="20"/>
          <w:szCs w:val="20"/>
        </w:rPr>
        <w:t xml:space="preserve">, a valle della Richiesta di Preventivo trasmessa tramite la piattaforma digitale; </w:t>
      </w:r>
    </w:p>
    <w:p w14:paraId="0DA20580" w14:textId="77777777" w:rsidR="00770C7D" w:rsidRDefault="002618F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napToGrid w:val="0"/>
        <w:spacing w:before="120" w:after="120"/>
        <w:ind w:left="714" w:right="51" w:hanging="357"/>
        <w:contextualSpacing w:val="0"/>
        <w:jc w:val="both"/>
        <w:rPr>
          <w:rFonts w:ascii="Arial" w:hAnsi="Arial" w:cs="Arial"/>
          <w:kern w:val="1"/>
          <w:sz w:val="16"/>
          <w:szCs w:val="16"/>
        </w:rPr>
      </w:pPr>
      <w:r>
        <w:rPr>
          <w:rFonts w:ascii="Arial" w:hAnsi="Arial" w:cs="Arial"/>
          <w:kern w:val="1"/>
          <w:sz w:val="20"/>
          <w:szCs w:val="20"/>
        </w:rPr>
        <w:t xml:space="preserve">ritenuto di affidare l’appalto all’operatore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Operatore"/>
            <w:enabled/>
            <w:calcOnExit w:val="0"/>
            <w:textInput>
              <w:format w:val="None"/>
            </w:textInput>
          </w:ffData>
        </w:fldChar>
      </w:r>
      <w:bookmarkStart w:id="17" w:name="Operatore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FEDERCONGRESSI&amp;EVENTI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17"/>
      <w:r>
        <w:rPr>
          <w:rFonts w:ascii="Arial" w:hAnsi="Arial" w:cs="Arial"/>
          <w:sz w:val="20"/>
          <w:szCs w:val="20"/>
          <w:lang w:eastAsia="it-IT"/>
        </w:rPr>
        <w:t xml:space="preserve">, </w:t>
      </w:r>
      <w:r>
        <w:rPr>
          <w:rFonts w:ascii="Arial" w:hAnsi="Arial" w:cs="Arial"/>
          <w:kern w:val="1"/>
          <w:sz w:val="20"/>
          <w:szCs w:val="20"/>
        </w:rPr>
        <w:t>poiché il prezzo proposto è risultato congruo e conveniente in rapporto alla qualità della prestazione, in quanto la medesima è in grado di fornire un prodotto rispondente alle esigenze della Società ad un prezzo allineato con i valori di mercato;</w:t>
      </w:r>
    </w:p>
    <w:p w14:paraId="1BB9B2AE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left="1068" w:right="49"/>
        <w:jc w:val="both"/>
        <w:rPr>
          <w:rFonts w:ascii="Arial" w:hAnsi="Arial" w:cs="Arial"/>
          <w:kern w:val="1"/>
          <w:sz w:val="16"/>
          <w:szCs w:val="16"/>
        </w:rPr>
      </w:pPr>
    </w:p>
    <w:p w14:paraId="3E087303" w14:textId="77777777" w:rsidR="00770C7D" w:rsidRDefault="002618F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constatato che, in conformità agli accertamenti condotti, il citato operatore economico risulta in possesso dei requisiti di carattere generale prescritti dal D.lgs. 36/2023;</w:t>
      </w:r>
    </w:p>
    <w:p w14:paraId="6530FD99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16"/>
          <w:szCs w:val="16"/>
        </w:rPr>
      </w:pPr>
    </w:p>
    <w:p w14:paraId="237DC9AD" w14:textId="77777777" w:rsidR="00770C7D" w:rsidRDefault="002618F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dato atto che è stato rispettato il principio di rotazione degli affidamenti;</w:t>
      </w:r>
    </w:p>
    <w:p w14:paraId="2BAEA553" w14:textId="77777777" w:rsidR="00770C7D" w:rsidRDefault="00770C7D">
      <w:pPr>
        <w:pStyle w:val="Paragrafoelenco"/>
        <w:rPr>
          <w:rFonts w:ascii="Arial" w:hAnsi="Arial" w:cs="Arial"/>
          <w:kern w:val="1"/>
          <w:sz w:val="16"/>
          <w:szCs w:val="16"/>
        </w:rPr>
      </w:pPr>
    </w:p>
    <w:p w14:paraId="3A5E6304" w14:textId="77777777" w:rsidR="00770C7D" w:rsidRDefault="002618F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appurato che, sotto il profilo del rischio interferenziale, nell’esecuzione del presente appalto:</w:t>
      </w:r>
    </w:p>
    <w:p w14:paraId="22A89051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09AF96A1" w14:textId="77777777" w:rsidR="00770C7D" w:rsidRDefault="002618F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in conformità a quanto previsto dall’art. 26, comma 3-bis, del D.lgs. n. 81/2008, non è necessario redigere il DUVRI in quanto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DUVRI"/>
            <w:enabled/>
            <w:calcOnExit w:val="0"/>
            <w:textInput>
              <w:format w:val="None"/>
            </w:textInput>
          </w:ffData>
        </w:fldChar>
      </w:r>
      <w:bookmarkStart w:id="18" w:name="DUVRI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il servizio non lo prevede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18"/>
      <w:r>
        <w:rPr>
          <w:rFonts w:ascii="Arial" w:hAnsi="Arial" w:cs="Arial"/>
          <w:kern w:val="1"/>
          <w:sz w:val="20"/>
          <w:szCs w:val="20"/>
        </w:rPr>
        <w:t>. Si veda l’art. 26 del D.lgs. n. 81/2008. In conseguenza di quanto esposto risulta superflua la quantificazione degli oneri pertinenti la sicurezza da rischio interferenziale, da corrispondere all’operatore economico;</w:t>
      </w:r>
    </w:p>
    <w:p w14:paraId="767CF5E0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left="1080"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30325F61" w14:textId="77777777" w:rsidR="00770C7D" w:rsidRDefault="002618F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dato atto che:</w:t>
      </w:r>
    </w:p>
    <w:p w14:paraId="1781CB41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695F4D3C" w14:textId="77777777" w:rsidR="00770C7D" w:rsidRDefault="002618F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le clausole negoziali essenziali verranno richiamate nell’ordine di acquisto e/o nella procedura negoziale;</w:t>
      </w:r>
    </w:p>
    <w:p w14:paraId="0822E1B9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left="1080"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3D3A3167" w14:textId="77777777" w:rsidR="00770C7D" w:rsidRDefault="002618F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il contraente viene selezionato, mediante una valutazione congiunta della congruità del prezzo e della qualità del servizio / del prodotto offerto;</w:t>
      </w:r>
    </w:p>
    <w:p w14:paraId="37D22F49" w14:textId="77777777" w:rsidR="00770C7D" w:rsidRDefault="00770C7D">
      <w:pPr>
        <w:autoSpaceDE w:val="0"/>
        <w:autoSpaceDN w:val="0"/>
        <w:adjustRightInd w:val="0"/>
        <w:spacing w:before="120" w:after="120"/>
        <w:ind w:left="372" w:right="49" w:firstLine="708"/>
        <w:jc w:val="both"/>
        <w:rPr>
          <w:rFonts w:ascii="Arial" w:hAnsi="Arial" w:cs="Arial"/>
          <w:sz w:val="20"/>
          <w:szCs w:val="20"/>
          <w:lang w:eastAsia="it-IT"/>
        </w:rPr>
      </w:pPr>
    </w:p>
    <w:p w14:paraId="3C2B1504" w14:textId="77777777" w:rsidR="00770C7D" w:rsidRDefault="002618F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accertato che il presente provvedimento è compatibile con gli stanziamenti di bilancio, come sopra richiamato alla voce progetto;</w:t>
      </w:r>
    </w:p>
    <w:p w14:paraId="23AC6694" w14:textId="77777777" w:rsidR="00770C7D" w:rsidRDefault="002618F3">
      <w:p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b/>
          <w:kern w:val="1"/>
          <w:sz w:val="20"/>
          <w:szCs w:val="20"/>
        </w:rPr>
      </w:pPr>
      <w:r>
        <w:rPr>
          <w:rFonts w:ascii="Arial" w:hAnsi="Arial" w:cs="Arial"/>
          <w:b/>
          <w:bCs/>
          <w:kern w:val="1"/>
          <w:sz w:val="20"/>
          <w:szCs w:val="20"/>
        </w:rPr>
        <w:t xml:space="preserve">Visti: </w:t>
      </w:r>
    </w:p>
    <w:p w14:paraId="0F2C27F3" w14:textId="77777777" w:rsidR="00770C7D" w:rsidRDefault="002618F3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120"/>
        <w:ind w:left="714" w:right="51" w:hanging="357"/>
        <w:contextualSpacing w:val="0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l’art. 14 del D.lgs. n. 36/2023;</w:t>
      </w:r>
    </w:p>
    <w:p w14:paraId="09A39A40" w14:textId="77777777" w:rsidR="00770C7D" w:rsidRDefault="002618F3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before="120" w:after="120"/>
        <w:ind w:left="714" w:right="51" w:hanging="357"/>
        <w:contextualSpacing w:val="0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l’art. 50, comma 1, lett. b), del D.lgs. n. 36/2023;</w:t>
      </w:r>
      <w:r>
        <w:rPr>
          <w:rFonts w:ascii="Arial" w:hAnsi="Arial" w:cs="Arial"/>
          <w:kern w:val="1"/>
          <w:sz w:val="20"/>
          <w:szCs w:val="20"/>
        </w:rPr>
        <w:tab/>
      </w:r>
    </w:p>
    <w:p w14:paraId="7F0218A8" w14:textId="77777777" w:rsidR="00770C7D" w:rsidRDefault="002618F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714" w:right="51" w:hanging="357"/>
        <w:contextualSpacing w:val="0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l’art. 3 della legge n. 136/2010, in materia di tracciabilità dei flussi finanziari;</w:t>
      </w:r>
    </w:p>
    <w:p w14:paraId="4DA05052" w14:textId="77777777" w:rsidR="00770C7D" w:rsidRDefault="002618F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 w:after="120"/>
        <w:ind w:right="49"/>
        <w:contextualSpacing w:val="0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l’art. 26, comma 6 del D.lgs. n. 81/2008 e la determinazione ANAC n. 3/2008 riguardanti la disciplina del DUVRI e della materia concernente il rischio da interferenza nell’esecuzione degli appalti; </w:t>
      </w:r>
    </w:p>
    <w:p w14:paraId="33891CA9" w14:textId="77777777" w:rsidR="00770C7D" w:rsidRDefault="002618F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gli artt. 37 del D.lgs. n. 33/2013 e 28 del D.lgs. n. 36/2023, in materia di obblighi di trasparenza.</w:t>
      </w:r>
    </w:p>
    <w:p w14:paraId="5622A498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3E3DDC85" w14:textId="77777777" w:rsidR="00770C7D" w:rsidRDefault="002618F3">
      <w:pPr>
        <w:autoSpaceDE w:val="0"/>
        <w:autoSpaceDN w:val="0"/>
        <w:adjustRightInd w:val="0"/>
        <w:spacing w:before="120" w:after="120"/>
        <w:ind w:right="4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kern w:val="1"/>
          <w:sz w:val="20"/>
          <w:szCs w:val="20"/>
        </w:rPr>
        <w:t>DETERMINA</w:t>
      </w:r>
    </w:p>
    <w:p w14:paraId="5890DB2B" w14:textId="77777777" w:rsidR="00770C7D" w:rsidRDefault="002618F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120" w:after="120"/>
        <w:ind w:right="49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di affidare l’appalto, per le ragioni espresse in premessa, per l’importo di euro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ImportoNoIVA"/>
            <w:enabled/>
            <w:calcOnExit w:val="0"/>
            <w:textInput>
              <w:format w:val="None"/>
            </w:textInput>
          </w:ffData>
        </w:fldChar>
      </w:r>
      <w:bookmarkStart w:id="19" w:name="ImportoNoIVA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7000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19"/>
      <w:r>
        <w:rPr>
          <w:rFonts w:ascii="Arial" w:hAnsi="Arial" w:cs="Arial"/>
          <w:sz w:val="20"/>
          <w:szCs w:val="20"/>
          <w:lang w:eastAsia="it-IT"/>
        </w:rPr>
        <w:t>,00</w:t>
      </w:r>
      <w:r>
        <w:rPr>
          <w:rFonts w:ascii="Arial" w:hAnsi="Arial" w:cs="Arial"/>
          <w:kern w:val="1"/>
          <w:sz w:val="20"/>
          <w:szCs w:val="20"/>
        </w:rPr>
        <w:t xml:space="preserve"> (IVA esclusa) a favore della ditta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Fornitore2"/>
            <w:enabled/>
            <w:calcOnExit w:val="0"/>
            <w:textInput>
              <w:format w:val="None"/>
            </w:textInput>
          </w:ffData>
        </w:fldChar>
      </w:r>
      <w:bookmarkStart w:id="20" w:name="Fornitore2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FEDERCONGRESSI&amp;EVENTI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20"/>
      <w:r>
        <w:rPr>
          <w:rFonts w:ascii="Arial" w:hAnsi="Arial" w:cs="Arial"/>
          <w:kern w:val="1"/>
          <w:sz w:val="20"/>
          <w:szCs w:val="20"/>
        </w:rPr>
        <w:t xml:space="preserve">; </w:t>
      </w:r>
    </w:p>
    <w:p w14:paraId="4834D6DD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0125420C" w14:textId="77777777" w:rsidR="00770C7D" w:rsidRDefault="002618F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di impegnare la spesa complessiva di euro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ImportoConIVA"/>
            <w:enabled/>
            <w:calcOnExit w:val="0"/>
            <w:textInput>
              <w:format w:val="None"/>
            </w:textInput>
          </w:ffData>
        </w:fldChar>
      </w:r>
      <w:bookmarkStart w:id="21" w:name="ImportoConIVA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8540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21"/>
      <w:r>
        <w:rPr>
          <w:rFonts w:ascii="Arial" w:hAnsi="Arial" w:cs="Arial"/>
          <w:sz w:val="20"/>
          <w:szCs w:val="20"/>
          <w:lang w:eastAsia="it-IT"/>
        </w:rPr>
        <w:t>,00</w:t>
      </w:r>
      <w:r>
        <w:rPr>
          <w:rFonts w:ascii="Arial" w:hAnsi="Arial" w:cs="Arial"/>
          <w:kern w:val="1"/>
          <w:sz w:val="20"/>
          <w:szCs w:val="20"/>
        </w:rPr>
        <w:t xml:space="preserve"> IVA del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IVA"/>
            <w:enabled/>
            <w:calcOnExit w:val="0"/>
            <w:textInput>
              <w:format w:val="None"/>
            </w:textInput>
          </w:ffData>
        </w:fldChar>
      </w:r>
      <w:bookmarkStart w:id="22" w:name="IVA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22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22"/>
      <w:r>
        <w:rPr>
          <w:rFonts w:ascii="Arial" w:hAnsi="Arial" w:cs="Arial"/>
          <w:sz w:val="20"/>
          <w:szCs w:val="20"/>
          <w:lang w:eastAsia="it-IT"/>
        </w:rPr>
        <w:t>%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1"/>
          <w:sz w:val="20"/>
          <w:szCs w:val="20"/>
        </w:rPr>
        <w:t xml:space="preserve">compresa; </w:t>
      </w:r>
    </w:p>
    <w:p w14:paraId="0D636F80" w14:textId="77777777" w:rsidR="00770C7D" w:rsidRDefault="00770C7D">
      <w:pPr>
        <w:pStyle w:val="Paragrafoelenco"/>
        <w:rPr>
          <w:rFonts w:ascii="Arial" w:hAnsi="Arial" w:cs="Arial"/>
          <w:kern w:val="1"/>
          <w:sz w:val="20"/>
          <w:szCs w:val="20"/>
        </w:rPr>
      </w:pPr>
    </w:p>
    <w:p w14:paraId="02D4A62D" w14:textId="77777777" w:rsidR="00770C7D" w:rsidRDefault="002618F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di attestare che l’impegno di spesa adottato con il presente provvedimento risulta compatibile con gli stanziamenti di bilancio, come sopra richiamato alla voce progetto;</w:t>
      </w:r>
    </w:p>
    <w:p w14:paraId="32F7C153" w14:textId="77777777" w:rsidR="00770C7D" w:rsidRDefault="00770C7D">
      <w:pPr>
        <w:pStyle w:val="Paragrafoelenco"/>
        <w:rPr>
          <w:rFonts w:ascii="Arial" w:hAnsi="Arial" w:cs="Arial"/>
          <w:kern w:val="1"/>
          <w:sz w:val="20"/>
          <w:szCs w:val="20"/>
        </w:rPr>
      </w:pPr>
    </w:p>
    <w:p w14:paraId="65C050BD" w14:textId="77777777" w:rsidR="00770C7D" w:rsidRDefault="002618F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di dare atto che i costi relativi alla sicurezza sono pari ad euro </w:t>
      </w:r>
      <w:r>
        <w:rPr>
          <w:rFonts w:ascii="Arial" w:hAnsi="Arial" w:cs="Arial"/>
          <w:sz w:val="20"/>
          <w:szCs w:val="20"/>
          <w:lang w:eastAsia="it-IT"/>
        </w:rPr>
        <w:fldChar w:fldCharType="begin">
          <w:ffData>
            <w:name w:val="Sicurezza"/>
            <w:enabled/>
            <w:calcOnExit w:val="0"/>
            <w:textInput>
              <w:format w:val="None"/>
            </w:textInput>
          </w:ffData>
        </w:fldChar>
      </w:r>
      <w:bookmarkStart w:id="23" w:name="Sicurezza"/>
      <w:r>
        <w:rPr>
          <w:rFonts w:ascii="Arial" w:hAnsi="Arial" w:cs="Arial"/>
          <w:sz w:val="20"/>
          <w:szCs w:val="20"/>
          <w:lang w:eastAsia="it-IT"/>
        </w:rPr>
        <w:instrText xml:space="preserve"> FORMTEXT </w:instrText>
      </w:r>
      <w:r>
        <w:rPr>
          <w:rFonts w:ascii="Arial" w:hAnsi="Arial" w:cs="Arial"/>
          <w:sz w:val="20"/>
          <w:szCs w:val="20"/>
          <w:lang w:eastAsia="it-IT"/>
        </w:rPr>
      </w:r>
      <w:r>
        <w:rPr>
          <w:rFonts w:ascii="Arial" w:hAnsi="Arial" w:cs="Arial"/>
          <w:sz w:val="20"/>
          <w:szCs w:val="20"/>
          <w:lang w:eastAsia="it-IT"/>
        </w:rPr>
        <w:fldChar w:fldCharType="separate"/>
      </w:r>
      <w:r>
        <w:rPr>
          <w:rFonts w:ascii="Arial" w:hAnsi="Arial" w:cs="Arial"/>
          <w:noProof/>
          <w:sz w:val="20"/>
          <w:szCs w:val="20"/>
          <w:lang w:eastAsia="it-IT"/>
        </w:rPr>
        <w:t>0</w:t>
      </w:r>
      <w:r>
        <w:rPr>
          <w:rFonts w:ascii="Arial" w:hAnsi="Arial" w:cs="Arial"/>
          <w:sz w:val="20"/>
          <w:szCs w:val="20"/>
          <w:lang w:eastAsia="it-IT"/>
        </w:rPr>
        <w:fldChar w:fldCharType="end"/>
      </w:r>
      <w:bookmarkEnd w:id="23"/>
      <w:r>
        <w:rPr>
          <w:rFonts w:ascii="Arial" w:hAnsi="Arial" w:cs="Arial"/>
          <w:sz w:val="20"/>
          <w:szCs w:val="20"/>
          <w:lang w:eastAsia="it-IT"/>
        </w:rPr>
        <w:t>,00</w:t>
      </w:r>
      <w:r>
        <w:rPr>
          <w:rFonts w:ascii="Arial" w:hAnsi="Arial" w:cs="Arial"/>
          <w:kern w:val="1"/>
          <w:sz w:val="20"/>
          <w:szCs w:val="20"/>
        </w:rPr>
        <w:t>;</w:t>
      </w:r>
    </w:p>
    <w:p w14:paraId="1DE64D5C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4F007D39" w14:textId="77777777" w:rsidR="00770C7D" w:rsidRDefault="002618F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>di rendere edotta la ditta affidataria delle disposizioni concernenti i principi e obblighi la cui violazione costituisce causa di risoluzione del rapporto contrattuale con il fornitore, inseriti nel Codice Etico, il MOG 231 e il Piano triennale di prevenzione della corruzione e della trasparenza della Società;</w:t>
      </w:r>
    </w:p>
    <w:p w14:paraId="0029FFDC" w14:textId="77777777" w:rsidR="00770C7D" w:rsidRDefault="00770C7D">
      <w:pPr>
        <w:pStyle w:val="Paragrafoelenco"/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52455158" w14:textId="77777777" w:rsidR="00770C7D" w:rsidRDefault="002618F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  <w:sz w:val="20"/>
          <w:szCs w:val="20"/>
        </w:rPr>
        <w:t xml:space="preserve">di adempiere, con l’esecutività del presente provvedimento, agli obblighi di pubblicazione ai sensi del D.lgs. n. 33/2013 e </w:t>
      </w:r>
      <w:r>
        <w:rPr>
          <w:rFonts w:ascii="Arial" w:hAnsi="Arial" w:cs="Arial"/>
          <w:sz w:val="20"/>
          <w:szCs w:val="20"/>
        </w:rPr>
        <w:t>del D.lgs. 36/2023.</w:t>
      </w:r>
    </w:p>
    <w:p w14:paraId="7807DCC5" w14:textId="77777777" w:rsidR="00770C7D" w:rsidRDefault="00770C7D">
      <w:pPr>
        <w:autoSpaceDE w:val="0"/>
        <w:autoSpaceDN w:val="0"/>
        <w:adjustRightInd w:val="0"/>
        <w:spacing w:before="120" w:after="120"/>
        <w:ind w:right="49"/>
        <w:jc w:val="both"/>
        <w:rPr>
          <w:rFonts w:ascii="Arial" w:hAnsi="Arial" w:cs="Arial"/>
          <w:kern w:val="1"/>
          <w:sz w:val="20"/>
          <w:szCs w:val="20"/>
        </w:rPr>
      </w:pPr>
    </w:p>
    <w:p w14:paraId="4CC83101" w14:textId="77777777" w:rsidR="00770C7D" w:rsidRDefault="002618F3">
      <w:pPr>
        <w:autoSpaceDE w:val="0"/>
        <w:autoSpaceDN w:val="0"/>
        <w:adjustRightInd w:val="0"/>
        <w:spacing w:before="120" w:after="120"/>
        <w:ind w:left="708" w:right="7420" w:firstLine="708"/>
        <w:rPr>
          <w:rFonts w:ascii="Arial" w:hAnsi="Arial" w:cs="Arial"/>
          <w:b/>
          <w:bCs/>
          <w:kern w:val="1"/>
          <w:sz w:val="20"/>
          <w:szCs w:val="20"/>
        </w:rPr>
      </w:pPr>
      <w:r>
        <w:rPr>
          <w:rFonts w:ascii="Arial" w:hAnsi="Arial" w:cs="Arial"/>
          <w:b/>
          <w:bCs/>
          <w:kern w:val="1"/>
          <w:sz w:val="20"/>
          <w:szCs w:val="20"/>
        </w:rPr>
        <w:t>IL RUP</w:t>
      </w:r>
    </w:p>
    <w:p w14:paraId="3838D621" w14:textId="77777777" w:rsidR="00770C7D" w:rsidRDefault="002618F3">
      <w:pPr>
        <w:autoSpaceDE w:val="0"/>
        <w:autoSpaceDN w:val="0"/>
        <w:adjustRightInd w:val="0"/>
        <w:spacing w:before="120" w:after="120"/>
        <w:ind w:left="708" w:right="7420" w:firstLine="708"/>
        <w:rPr>
          <w:rFonts w:ascii="Arial" w:hAnsi="Arial" w:cs="Arial"/>
          <w:b/>
          <w:bCs/>
          <w:kern w:val="1"/>
          <w:sz w:val="20"/>
          <w:szCs w:val="20"/>
        </w:rPr>
      </w:pPr>
      <w:r>
        <w:rPr>
          <w:rFonts w:ascii="Arial" w:hAnsi="Arial" w:cs="Arial"/>
          <w:b/>
          <w:bCs/>
          <w:kern w:val="1"/>
          <w:sz w:val="20"/>
          <w:szCs w:val="20"/>
        </w:rPr>
        <w:fldChar w:fldCharType="begin">
          <w:ffData>
            <w:name w:val="RUP"/>
            <w:enabled/>
            <w:calcOnExit w:val="0"/>
            <w:textInput>
              <w:format w:val="None"/>
            </w:textInput>
          </w:ffData>
        </w:fldChar>
      </w:r>
      <w:bookmarkStart w:id="24" w:name="RUP"/>
      <w:r>
        <w:rPr>
          <w:rFonts w:ascii="Arial" w:hAnsi="Arial" w:cs="Arial"/>
          <w:b/>
          <w:bCs/>
          <w:kern w:val="1"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bCs/>
          <w:kern w:val="1"/>
          <w:sz w:val="20"/>
          <w:szCs w:val="20"/>
        </w:rPr>
      </w:r>
      <w:r>
        <w:rPr>
          <w:rFonts w:ascii="Arial" w:hAnsi="Arial" w:cs="Arial"/>
          <w:b/>
          <w:bCs/>
          <w:kern w:val="1"/>
          <w:sz w:val="20"/>
          <w:szCs w:val="20"/>
        </w:rPr>
        <w:fldChar w:fldCharType="separate"/>
      </w:r>
      <w:r>
        <w:rPr>
          <w:rFonts w:ascii="Arial" w:hAnsi="Arial" w:cs="Arial"/>
          <w:b/>
          <w:bCs/>
          <w:kern w:val="1"/>
          <w:sz w:val="20"/>
          <w:szCs w:val="20"/>
        </w:rPr>
        <w:fldChar w:fldCharType="end"/>
      </w:r>
      <w:bookmarkEnd w:id="24"/>
    </w:p>
    <w:bookmarkStart w:id="25" w:name="_Hlk117868474"/>
    <w:bookmarkStart w:id="26" w:name="_Hlk117867882"/>
    <w:p w14:paraId="6240880D" w14:textId="77777777" w:rsidR="00770C7D" w:rsidRDefault="002618F3">
      <w:pPr>
        <w:ind w:left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ITOLOfirma"/>
            <w:enabled/>
            <w:calcOnExit w:val="0"/>
            <w:textInput>
              <w:format w:val="None"/>
            </w:textInput>
          </w:ffData>
        </w:fldChar>
      </w:r>
      <w:bookmarkStart w:id="27" w:name="TITOLOfirma"/>
      <w:r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  <w:fldChar w:fldCharType="separate"/>
      </w:r>
      <w:r>
        <w:rPr>
          <w:rFonts w:ascii="Arial" w:hAnsi="Arial" w:cs="Arial"/>
          <w:b/>
          <w:bCs/>
          <w:noProof/>
          <w:sz w:val="20"/>
          <w:szCs w:val="20"/>
        </w:rPr>
        <w:t>Il Direttore Generale</w:t>
      </w:r>
      <w:r>
        <w:rPr>
          <w:rFonts w:ascii="Arial" w:hAnsi="Arial" w:cs="Arial"/>
          <w:b/>
          <w:bCs/>
          <w:sz w:val="20"/>
          <w:szCs w:val="20"/>
        </w:rPr>
        <w:fldChar w:fldCharType="end"/>
      </w:r>
      <w:bookmarkEnd w:id="25"/>
      <w:bookmarkEnd w:id="26"/>
      <w:bookmarkEnd w:id="27"/>
    </w:p>
    <w:sectPr w:rsidR="00770C7D">
      <w:pgSz w:w="12240" w:h="15840"/>
      <w:pgMar w:top="182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63067"/>
    <w:multiLevelType w:val="multilevel"/>
    <w:tmpl w:val="4F88AC0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4E99"/>
    <w:multiLevelType w:val="multilevel"/>
    <w:tmpl w:val="282685EC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E0851D1"/>
    <w:multiLevelType w:val="multilevel"/>
    <w:tmpl w:val="8B466B92"/>
    <w:lvl w:ilvl="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367F2"/>
    <w:multiLevelType w:val="multilevel"/>
    <w:tmpl w:val="88A23498"/>
    <w:lvl w:ilvl="0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DFB38BB"/>
    <w:multiLevelType w:val="multilevel"/>
    <w:tmpl w:val="31701B9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F49AC"/>
    <w:multiLevelType w:val="multilevel"/>
    <w:tmpl w:val="2E6C4420"/>
    <w:lvl w:ilvl="0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D2C6B"/>
    <w:multiLevelType w:val="multilevel"/>
    <w:tmpl w:val="FF4CAD4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057F3A"/>
    <w:multiLevelType w:val="multilevel"/>
    <w:tmpl w:val="A63CC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E051DD"/>
    <w:multiLevelType w:val="multilevel"/>
    <w:tmpl w:val="BF3C076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77660A"/>
    <w:multiLevelType w:val="multilevel"/>
    <w:tmpl w:val="043E0D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A4D5B"/>
    <w:multiLevelType w:val="multilevel"/>
    <w:tmpl w:val="99ACE45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A91644"/>
    <w:multiLevelType w:val="multilevel"/>
    <w:tmpl w:val="D5B03BA8"/>
    <w:lvl w:ilvl="0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704BD"/>
    <w:multiLevelType w:val="multilevel"/>
    <w:tmpl w:val="DBD8A8B4"/>
    <w:lvl w:ilvl="0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C13738"/>
    <w:multiLevelType w:val="multilevel"/>
    <w:tmpl w:val="9E22008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101FE2"/>
    <w:multiLevelType w:val="multilevel"/>
    <w:tmpl w:val="78A4ACCE"/>
    <w:lvl w:ilvl="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478892">
    <w:abstractNumId w:val="0"/>
  </w:num>
  <w:num w:numId="2" w16cid:durableId="683938314">
    <w:abstractNumId w:val="1"/>
  </w:num>
  <w:num w:numId="3" w16cid:durableId="1103724075">
    <w:abstractNumId w:val="2"/>
  </w:num>
  <w:num w:numId="4" w16cid:durableId="406729850">
    <w:abstractNumId w:val="3"/>
  </w:num>
  <w:num w:numId="5" w16cid:durableId="612133829">
    <w:abstractNumId w:val="4"/>
  </w:num>
  <w:num w:numId="6" w16cid:durableId="431828927">
    <w:abstractNumId w:val="5"/>
  </w:num>
  <w:num w:numId="7" w16cid:durableId="187720081">
    <w:abstractNumId w:val="6"/>
  </w:num>
  <w:num w:numId="8" w16cid:durableId="184100047">
    <w:abstractNumId w:val="7"/>
  </w:num>
  <w:num w:numId="9" w16cid:durableId="197593636">
    <w:abstractNumId w:val="8"/>
  </w:num>
  <w:num w:numId="10" w16cid:durableId="1100221981">
    <w:abstractNumId w:val="9"/>
  </w:num>
  <w:num w:numId="11" w16cid:durableId="256449858">
    <w:abstractNumId w:val="10"/>
  </w:num>
  <w:num w:numId="12" w16cid:durableId="1478572462">
    <w:abstractNumId w:val="11"/>
  </w:num>
  <w:num w:numId="13" w16cid:durableId="291055947">
    <w:abstractNumId w:val="12"/>
  </w:num>
  <w:num w:numId="14" w16cid:durableId="1859654009">
    <w:abstractNumId w:val="13"/>
  </w:num>
  <w:num w:numId="15" w16cid:durableId="13291385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C7D"/>
    <w:rsid w:val="002618F3"/>
    <w:rsid w:val="00770C7D"/>
    <w:rsid w:val="00C6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6A1949-7797-4A18-8769-F8E1F4FB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Pr>
      <w:color w:val="605E5C"/>
      <w:shd w:val="clear" w:color="auto" w:fill="E1DFDD"/>
    </w:rPr>
  </w:style>
  <w:style w:type="paragraph" w:customStyle="1" w:styleId="m-6629484687666805515msolistparagraph">
    <w:name w:val="m_-6629484687666805515msolistparagraph"/>
    <w:basedOn w:val="Normal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Revisione1">
    <w:name w:val="Revisione1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04D8353CF51942B9D0E2088E77326B" ma:contentTypeVersion="21" ma:contentTypeDescription="Create a new document." ma:contentTypeScope="" ma:versionID="5e854207061c04d73f0b08449a9c3855">
  <xsd:schema xmlns:xsd="http://www.w3.org/2001/XMLSchema" xmlns:xs="http://www.w3.org/2001/XMLSchema" xmlns:p="http://schemas.microsoft.com/office/2006/metadata/properties" xmlns:ns2="af7e2a46-29d8-4222-b428-d00b90a6613a" xmlns:ns3="cda24cc4-4e44-4504-b69f-4e3c2f2a591b" targetNamespace="http://schemas.microsoft.com/office/2006/metadata/properties" ma:root="true" ma:fieldsID="4da28263417853e5d0df252b298ee9e1" ns2:_="" ns3:_="">
    <xsd:import namespace="af7e2a46-29d8-4222-b428-d00b90a6613a"/>
    <xsd:import namespace="cda24cc4-4e44-4504-b69f-4e3c2f2a59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Stato" minOccurs="0"/>
                <xsd:element ref="ns2:Revision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7e2a46-29d8-4222-b428-d00b90a66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o" ma:index="17" nillable="true" ma:displayName="Stato" ma:default="In revisione" ma:description="Stato del documento" ma:format="Dropdown" ma:internalName="Stato">
      <xsd:simpleType>
        <xsd:restriction base="dms:Choice">
          <xsd:enumeration value="In revisione"/>
          <xsd:enumeration value="Completato"/>
          <xsd:enumeration value="Appunti"/>
          <xsd:enumeration value="Documenti cliente"/>
        </xsd:restriction>
      </xsd:simpleType>
    </xsd:element>
    <xsd:element name="Revisione" ma:index="18" nillable="true" ma:displayName="Revisione" ma:decimals="1" ma:default="0" ma:description="Numero revisione documento" ma:format="Dropdown" ma:internalName="Revisione" ma:percentage="FALSE">
      <xsd:simpleType>
        <xsd:restriction base="dms:Number">
          <xsd:maxInclusive value="10"/>
          <xsd:minInclusive value="0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0c23fe8-7b50-4c86-9982-faddd8a8d8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24cc4-4e44-4504-b69f-4e3c2f2a59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7e1adc-6793-4f08-9476-33fe70ac2c99}" ma:internalName="TaxCatchAll" ma:showField="CatchAllData" ma:web="cda24cc4-4e44-4504-b69f-4e3c2f2a59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a24cc4-4e44-4504-b69f-4e3c2f2a591b" xsi:nil="true"/>
    <lcf76f155ced4ddcb4097134ff3c332f xmlns="af7e2a46-29d8-4222-b428-d00b90a6613a">
      <Terms xmlns="http://schemas.microsoft.com/office/infopath/2007/PartnerControls">
      </Terms>
    </lcf76f155ced4ddcb4097134ff3c332f>
    <Stato xmlns="af7e2a46-29d8-4222-b428-d00b90a6613a">In revisione</Stato>
    <Revisione xmlns="af7e2a46-29d8-4222-b428-d00b90a6613a">0</Revisione>
  </documentManagement>
</p:properties>
</file>

<file path=customXml/itemProps1.xml><?xml version="1.0" encoding="utf-8"?>
<ds:datastoreItem xmlns:ds="http://schemas.openxmlformats.org/officeDocument/2006/customXml" ds:itemID="{B070AFA1-D151-4F1A-9011-85E36795D3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37356B-03AB-4445-BF34-66370D36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7e2a46-29d8-4222-b428-d00b90a6613a"/>
    <ds:schemaRef ds:uri="cda24cc4-4e44-4504-b69f-4e3c2f2a59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ED2170-41F5-724C-90AD-5C3472411C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16CC52-6025-4CC7-A67E-3A5A2A9D50A9}">
  <ds:schemaRefs>
    <ds:schemaRef ds:uri="http://schemas.microsoft.com/office/2006/metadata/properties"/>
    <ds:schemaRef ds:uri="http://schemas.microsoft.com/office/infopath/2007/PartnerControls"/>
    <ds:schemaRef ds:uri="cda24cc4-4e44-4504-b69f-4e3c2f2a591b"/>
    <ds:schemaRef ds:uri="af7e2a46-29d8-4222-b428-d00b90a661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1027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Congressuale2</cp:lastModifiedBy>
  <cp:revision>2</cp:revision>
  <dcterms:created xsi:type="dcterms:W3CDTF">2025-05-28T10:38:00Z</dcterms:created>
  <dcterms:modified xsi:type="dcterms:W3CDTF">2025-05-28T10:38:00Z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45b9d0-6cf0-469f-b735-605a70152059_Enabled">
    <vt:lpwstr>true</vt:lpwstr>
  </property>
  <property fmtid="{D5CDD505-2E9C-101B-9397-08002B2CF9AE}" pid="3" name="MSIP_Label_5845b9d0-6cf0-469f-b735-605a70152059_SetDate">
    <vt:lpwstr>2023-06-30T09:00:07Z</vt:lpwstr>
  </property>
  <property fmtid="{D5CDD505-2E9C-101B-9397-08002B2CF9AE}" pid="4" name="MSIP_Label_5845b9d0-6cf0-469f-b735-605a70152059_Method">
    <vt:lpwstr>Standard</vt:lpwstr>
  </property>
  <property fmtid="{D5CDD505-2E9C-101B-9397-08002B2CF9AE}" pid="5" name="MSIP_Label_5845b9d0-6cf0-469f-b735-605a70152059_Name">
    <vt:lpwstr>5845b9d0-6cf0-469f-b735-605a70152059</vt:lpwstr>
  </property>
  <property fmtid="{D5CDD505-2E9C-101B-9397-08002B2CF9AE}" pid="6" name="MSIP_Label_5845b9d0-6cf0-469f-b735-605a70152059_SiteId">
    <vt:lpwstr>3497de56-ffe5-4ae8-bdee-a69c7335838d</vt:lpwstr>
  </property>
  <property fmtid="{D5CDD505-2E9C-101B-9397-08002B2CF9AE}" pid="7" name="MSIP_Label_5845b9d0-6cf0-469f-b735-605a70152059_ActionId">
    <vt:lpwstr>d61aebc9-3597-48d0-844c-81e6ec9c5793</vt:lpwstr>
  </property>
  <property fmtid="{D5CDD505-2E9C-101B-9397-08002B2CF9AE}" pid="8" name="MSIP_Label_5845b9d0-6cf0-469f-b735-605a70152059_ContentBits">
    <vt:lpwstr>0</vt:lpwstr>
  </property>
  <property fmtid="{D5CDD505-2E9C-101B-9397-08002B2CF9AE}" pid="9" name="ContentTypeId">
    <vt:lpwstr>0x0101001904D8353CF51942B9D0E2088E77326B</vt:lpwstr>
  </property>
  <property fmtid="{D5CDD505-2E9C-101B-9397-08002B2CF9AE}" pid="10" name="MediaServiceImageTags">
    <vt:lpwstr/>
  </property>
  <property fmtid="{D5CDD505-2E9C-101B-9397-08002B2CF9AE}" pid="11" name="GrammarlyDocumentId">
    <vt:lpwstr>c33a1458c79d58161dd26688cdea65676979aff7a4cf91562ca27019fbe08a2e</vt:lpwstr>
  </property>
</Properties>
</file>